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13" w:rsidRPr="008D1189" w:rsidRDefault="009D1783">
      <w:pPr>
        <w:pStyle w:val="Standard"/>
        <w:tabs>
          <w:tab w:val="left" w:pos="895"/>
        </w:tabs>
        <w:snapToGrid w:val="0"/>
        <w:ind w:left="57" w:right="57" w:hanging="57"/>
        <w:jc w:val="center"/>
        <w:rPr>
          <w:b/>
          <w:sz w:val="26"/>
          <w:szCs w:val="26"/>
        </w:rPr>
      </w:pPr>
      <w:r w:rsidRPr="008D1189">
        <w:rPr>
          <w:b/>
          <w:sz w:val="26"/>
          <w:szCs w:val="26"/>
        </w:rPr>
        <w:t xml:space="preserve">Religia - wymagania edukacyjne niezbędne do uzyskania   </w:t>
      </w:r>
    </w:p>
    <w:p w:rsidR="005E1A13" w:rsidRPr="008D1189" w:rsidRDefault="009D1783">
      <w:pPr>
        <w:pStyle w:val="Standard"/>
        <w:tabs>
          <w:tab w:val="left" w:pos="895"/>
        </w:tabs>
        <w:snapToGrid w:val="0"/>
        <w:ind w:left="57" w:right="57" w:hanging="57"/>
        <w:jc w:val="center"/>
        <w:rPr>
          <w:b/>
          <w:sz w:val="26"/>
          <w:szCs w:val="26"/>
        </w:rPr>
      </w:pPr>
      <w:r w:rsidRPr="008D1189">
        <w:rPr>
          <w:b/>
          <w:sz w:val="26"/>
          <w:szCs w:val="26"/>
        </w:rPr>
        <w:t>śródrocznych i</w:t>
      </w:r>
      <w:r w:rsidR="008D1189">
        <w:rPr>
          <w:b/>
          <w:sz w:val="26"/>
          <w:szCs w:val="26"/>
        </w:rPr>
        <w:t xml:space="preserve"> rocznych ocen klasyfikacyjnych</w:t>
      </w:r>
      <w:bookmarkStart w:id="0" w:name="_GoBack"/>
      <w:bookmarkEnd w:id="0"/>
    </w:p>
    <w:p w:rsidR="005E1A13" w:rsidRDefault="005E1A13">
      <w:pPr>
        <w:pStyle w:val="Standard"/>
        <w:tabs>
          <w:tab w:val="left" w:pos="895"/>
        </w:tabs>
        <w:snapToGrid w:val="0"/>
        <w:ind w:left="57" w:right="57" w:hanging="57"/>
        <w:jc w:val="center"/>
        <w:rPr>
          <w:b/>
          <w:bCs/>
          <w:sz w:val="26"/>
          <w:szCs w:val="26"/>
        </w:rPr>
      </w:pP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Ocena z religii ustalana jest w oparciu o kryteria poznawcze, kształcące i </w:t>
      </w:r>
      <w:r>
        <w:rPr>
          <w:sz w:val="26"/>
          <w:szCs w:val="26"/>
        </w:rPr>
        <w:t>wychowawcze.</w:t>
      </w:r>
    </w:p>
    <w:p w:rsidR="005E1A13" w:rsidRDefault="005E1A13">
      <w:pPr>
        <w:pStyle w:val="Standard"/>
        <w:tabs>
          <w:tab w:val="left" w:pos="736"/>
        </w:tabs>
        <w:snapToGrid w:val="0"/>
        <w:ind w:right="45"/>
        <w:jc w:val="center"/>
        <w:rPr>
          <w:sz w:val="26"/>
          <w:szCs w:val="26"/>
        </w:rPr>
      </w:pPr>
    </w:p>
    <w:p w:rsidR="005E1A13" w:rsidRDefault="009D1783">
      <w:pPr>
        <w:pStyle w:val="Standard"/>
        <w:tabs>
          <w:tab w:val="left" w:pos="2635"/>
        </w:tabs>
        <w:ind w:left="231" w:right="54" w:hanging="259"/>
        <w:rPr>
          <w:sz w:val="26"/>
          <w:szCs w:val="26"/>
        </w:rPr>
      </w:pPr>
      <w:r>
        <w:rPr>
          <w:sz w:val="26"/>
          <w:szCs w:val="26"/>
        </w:rPr>
        <w:t xml:space="preserve">  1. </w:t>
      </w:r>
      <w:r>
        <w:rPr>
          <w:rFonts w:cs="Times New Roman"/>
          <w:sz w:val="26"/>
          <w:szCs w:val="26"/>
        </w:rPr>
        <w:t xml:space="preserve">W ocenianiu z religii obowiązują: </w:t>
      </w:r>
      <w:r>
        <w:rPr>
          <w:sz w:val="26"/>
          <w:szCs w:val="26"/>
        </w:rPr>
        <w:t xml:space="preserve">obiektywność - zastosowanie jednolitych norm              i kryteriów oceniania, jawność - podawanie na bieżąco wyników pracy ucznia, instruktywność – wskazanie na występujące braki i </w:t>
      </w:r>
      <w:r>
        <w:rPr>
          <w:rFonts w:cs="Times New Roman"/>
          <w:sz w:val="26"/>
          <w:szCs w:val="26"/>
        </w:rPr>
        <w:t>motywowanie do dals</w:t>
      </w:r>
      <w:r>
        <w:rPr>
          <w:rFonts w:cs="Times New Roman"/>
          <w:sz w:val="26"/>
          <w:szCs w:val="26"/>
        </w:rPr>
        <w:t>zej pracy.</w:t>
      </w:r>
    </w:p>
    <w:p w:rsidR="005E1A13" w:rsidRDefault="005E1A13">
      <w:pPr>
        <w:pStyle w:val="Standard"/>
        <w:tabs>
          <w:tab w:val="left" w:pos="736"/>
        </w:tabs>
        <w:snapToGrid w:val="0"/>
        <w:ind w:right="45"/>
        <w:rPr>
          <w:sz w:val="26"/>
          <w:szCs w:val="26"/>
        </w:rPr>
      </w:pP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>2. Sposoby oceniania:</w:t>
      </w: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>Wartościowanie gestem, słowem, mimiką i stopniem.</w:t>
      </w:r>
    </w:p>
    <w:p w:rsidR="005E1A13" w:rsidRDefault="005E1A1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Elementy wchodzące w zakres oceny z religii: ilość i jakość prezentowanych wiadomości, zainteresowanie przedmiotem, stosunek do przedmiotu, pilność i systematyczność, </w:t>
      </w:r>
      <w:r>
        <w:rPr>
          <w:rFonts w:cs="Times New Roman"/>
          <w:sz w:val="26"/>
          <w:szCs w:val="26"/>
        </w:rPr>
        <w:t>umiejętność zastosowania poznanych wiadomości w życiu, postawa moralna ucznia.</w:t>
      </w:r>
    </w:p>
    <w:p w:rsidR="005E1A13" w:rsidRDefault="005E1A1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>Kontrola i ocena w religii nie dotyczy wyłącznie sprawdzenia wiadomości, lecz także wartościowania umiejętności, postaw, zdolności twórczych, rozwoju zainteresowań, motywacji u</w:t>
      </w:r>
      <w:r>
        <w:rPr>
          <w:rFonts w:cs="Times New Roman"/>
          <w:sz w:val="26"/>
          <w:szCs w:val="26"/>
        </w:rPr>
        <w:t>czenia się, głównie kształtowania pozytywnych cech charakteru, woli, odpowiedzialności za swoje czyny, dokładności, wytrwałości, pracowitości, kultury osobistej, zgodności postępowania z ogólnie przyjętymi zasadami etycznymi.</w:t>
      </w:r>
    </w:p>
    <w:p w:rsidR="005E1A13" w:rsidRDefault="005E1A1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Ocenie podlegają: pisemne </w:t>
      </w:r>
      <w:r>
        <w:rPr>
          <w:rFonts w:cs="Times New Roman"/>
          <w:sz w:val="26"/>
          <w:szCs w:val="26"/>
        </w:rPr>
        <w:t xml:space="preserve">prace kontrolne semestralne, kartkówki i odpowiedzi ustne objęte zakresem materiału z trzech ostatnich lekcji, aktywność w trakcie lekcji, praca z podręcznikiem i w zeszycie ćwiczeń, znajomość podstawowych prawd wiary, prowadzenie zeszytu ucznia (jeśli na </w:t>
      </w:r>
      <w:r>
        <w:rPr>
          <w:rFonts w:cs="Times New Roman"/>
          <w:sz w:val="26"/>
          <w:szCs w:val="26"/>
        </w:rPr>
        <w:t>początku roku taki wymóg ustali nauczyciel uczący), pilność, systematyczność, przygotowanie do poszczególnych lekcji, umiejętność korzystania z Pisma Świętego.                                                                                             Inne</w:t>
      </w:r>
      <w:r>
        <w:rPr>
          <w:rFonts w:cs="Times New Roman"/>
          <w:sz w:val="26"/>
          <w:szCs w:val="26"/>
        </w:rPr>
        <w:t xml:space="preserve"> formy aktywności ucznia: praca w grupach, referaty, prezentacje, udział w olimpiadach, konkursach, projektach, zaangażowanie w przygotowanie i przeprowadzenie uroczystości szkolnych, przygotowanie gazetek szkolnych, współpraca ze wspólnotą parafialną.</w:t>
      </w:r>
    </w:p>
    <w:p w:rsidR="005E1A13" w:rsidRDefault="005E1A1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>
        <w:rPr>
          <w:rFonts w:cs="Times New Roman"/>
          <w:sz w:val="26"/>
          <w:szCs w:val="26"/>
        </w:rPr>
        <w:t xml:space="preserve"> Praktyki religijne nie podlegają ocenie.</w:t>
      </w:r>
    </w:p>
    <w:p w:rsidR="005E1A13" w:rsidRDefault="005E1A1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Zasady oceniania</w:t>
      </w:r>
    </w:p>
    <w:p w:rsidR="005E1A13" w:rsidRDefault="005E1A1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>1. Nauczyciel religii na początku roku szkolnego informuje uczniów oraz ich rodziców (prawnych opiekunów) o wymaganiach edukacyjnych niezbędnych do uzyskania śródrocznej i rocznej (semestr</w:t>
      </w:r>
      <w:r>
        <w:rPr>
          <w:rFonts w:cs="Times New Roman"/>
          <w:sz w:val="26"/>
          <w:szCs w:val="26"/>
        </w:rPr>
        <w:t>alnej) oceny klasyfikacyjnej, wynikających z realizowanego programu nauczania.</w:t>
      </w: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>
        <w:rPr>
          <w:sz w:val="26"/>
          <w:szCs w:val="26"/>
        </w:rPr>
        <w:t xml:space="preserve">Oceny cząstkowe w klasach I - VIII  semestralne i </w:t>
      </w:r>
      <w:proofErr w:type="spellStart"/>
      <w:r>
        <w:rPr>
          <w:sz w:val="26"/>
          <w:szCs w:val="26"/>
        </w:rPr>
        <w:t>końcoworoczne</w:t>
      </w:r>
      <w:proofErr w:type="spellEnd"/>
      <w:r>
        <w:rPr>
          <w:sz w:val="26"/>
          <w:szCs w:val="26"/>
        </w:rPr>
        <w:t xml:space="preserve"> wyrażone są według skali: celujący (6),  bardzo dobry (5),  dobry (4),  dostateczny (3), dopuszczający (2), ni</w:t>
      </w:r>
      <w:r>
        <w:rPr>
          <w:sz w:val="26"/>
          <w:szCs w:val="26"/>
        </w:rPr>
        <w:t>edostateczny (1).</w:t>
      </w: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sz w:val="26"/>
          <w:szCs w:val="26"/>
        </w:rPr>
        <w:t>3. Wciągu jednego semestru nauczyciel wystawia każdemu uczniowi co najmniej dwie oceny cząstkowe.</w:t>
      </w: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cs="Times New Roman"/>
          <w:sz w:val="26"/>
          <w:szCs w:val="26"/>
        </w:rPr>
        <w:t xml:space="preserve">Oceny są jawne dla ucznia i jego rodziców (prawnych opiekunów). Jeśli jest potrzeba, na </w:t>
      </w:r>
      <w:r>
        <w:rPr>
          <w:rFonts w:cs="Times New Roman"/>
          <w:sz w:val="26"/>
          <w:szCs w:val="26"/>
        </w:rPr>
        <w:lastRenderedPageBreak/>
        <w:t>prośbę ucznia lub jego rodzica nauczyciel uzasad</w:t>
      </w:r>
      <w:r>
        <w:rPr>
          <w:rFonts w:cs="Times New Roman"/>
          <w:sz w:val="26"/>
          <w:szCs w:val="26"/>
        </w:rPr>
        <w:t xml:space="preserve">nia wystawioną ocenę.   </w:t>
      </w: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>5. Prace pisemne w kl. IV – VIII ( sprawdziany, kartkówki itp.) są obowiązkowe. Jeżeli             z przyczyn losowych uczeń nie może pisać sprawdzianu, kartkówki w ustalonym terminie, to powinien go zaliczyć na warunkach ustalonyc</w:t>
      </w:r>
      <w:r>
        <w:rPr>
          <w:rFonts w:cs="Times New Roman"/>
          <w:sz w:val="26"/>
          <w:szCs w:val="26"/>
        </w:rPr>
        <w:t>h z nauczycielem, do dwóch tygodni od dnia pojawienia się ucznia na pierwszych zajęciach po chorobie. Nieprzystąpienie do sprawdzianu, kartkówki kończy się wpisaniem oceny niedostatecznej do dziennika.</w:t>
      </w: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 Uzupełnianie ćwiczeń w podręczniku lub w zeszycie </w:t>
      </w:r>
      <w:r>
        <w:rPr>
          <w:rFonts w:cs="Times New Roman"/>
          <w:sz w:val="26"/>
          <w:szCs w:val="26"/>
        </w:rPr>
        <w:t>ucznia kontrolowane jest na bieżąco i oceniane przynamniej raz w semestrze.</w:t>
      </w: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>7. Sprawdzenie znajomości podstawowych prawd wiary ma miejsce podczas odpowiedzi ustnej lub pracy pisemnej.</w:t>
      </w:r>
    </w:p>
    <w:p w:rsidR="005E1A13" w:rsidRDefault="009D1783">
      <w:pPr>
        <w:pStyle w:val="Standard"/>
        <w:tabs>
          <w:tab w:val="left" w:pos="856"/>
        </w:tabs>
        <w:snapToGrid w:val="0"/>
        <w:ind w:left="120" w:right="45" w:hanging="120"/>
        <w:rPr>
          <w:sz w:val="26"/>
          <w:szCs w:val="26"/>
        </w:rPr>
      </w:pPr>
      <w:r>
        <w:rPr>
          <w:rFonts w:cs="Times New Roman"/>
          <w:sz w:val="26"/>
          <w:szCs w:val="26"/>
        </w:rPr>
        <w:t>8. Przy ustalaniu oceny śródrocznej/ rocznej uwzględnia się wszystkie oc</w:t>
      </w:r>
      <w:r>
        <w:rPr>
          <w:rFonts w:cs="Times New Roman"/>
          <w:sz w:val="26"/>
          <w:szCs w:val="26"/>
        </w:rPr>
        <w:t xml:space="preserve">eny bieżące wystawione uczniowi w danym półroczu. Średnia ocen ustalona przez dziennik elektroniczny nie jest dla ucznia informacją o proponowanej ocenie. Ocenę ustala nauczyciel biorąc pod uwagę wszystkie oceny bieżące oraz procesualność.                 </w:t>
      </w:r>
      <w:r>
        <w:rPr>
          <w:rFonts w:cs="Times New Roman"/>
          <w:sz w:val="26"/>
          <w:szCs w:val="26"/>
        </w:rPr>
        <w:t xml:space="preserve">                                       </w:t>
      </w:r>
    </w:p>
    <w:p w:rsidR="005E1A13" w:rsidRDefault="009D1783">
      <w:pPr>
        <w:pStyle w:val="Standard"/>
        <w:tabs>
          <w:tab w:val="left" w:pos="2505"/>
        </w:tabs>
        <w:snapToGrid w:val="0"/>
        <w:ind w:left="218" w:right="54" w:hanging="245"/>
        <w:rPr>
          <w:sz w:val="26"/>
          <w:szCs w:val="26"/>
        </w:rPr>
      </w:pPr>
      <w:r>
        <w:rPr>
          <w:sz w:val="26"/>
          <w:szCs w:val="26"/>
        </w:rPr>
        <w:t xml:space="preserve">   9. Jeżeli uczeń ubiega się o ocenę wyższą niż przewidywana, ustala z nauczycielem zakres materiału do zaliczenia i termin zaliczenia.</w:t>
      </w:r>
    </w:p>
    <w:p w:rsidR="005E1A13" w:rsidRDefault="009D1783">
      <w:pPr>
        <w:pStyle w:val="Akapitzlist"/>
        <w:tabs>
          <w:tab w:val="left" w:pos="2287"/>
        </w:tabs>
        <w:snapToGrid w:val="0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10. Raz w semestrze uczeń może skorzystać z  tzw. „szansy”. Nie dotyczy zapow</w:t>
      </w:r>
      <w:r>
        <w:rPr>
          <w:rFonts w:cs="Times New Roman"/>
          <w:sz w:val="26"/>
          <w:szCs w:val="26"/>
        </w:rPr>
        <w:t>iadanych   sprawdzianów.</w:t>
      </w:r>
    </w:p>
    <w:p w:rsidR="005E1A13" w:rsidRDefault="009D1783">
      <w:pPr>
        <w:pStyle w:val="Akapitzlist"/>
        <w:tabs>
          <w:tab w:val="left" w:pos="2287"/>
        </w:tabs>
        <w:snapToGrid w:val="0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11. Nauczyciel religii jest zobowiązany, na podstawie opinii publicznej poradni psychologiczno-pedagogicznej, w tym publicznej poradni specjalistycznej, dostosować wymagania edukacyjne do indywidualnych potrzeb psychofizycznych i</w:t>
      </w:r>
      <w:r>
        <w:rPr>
          <w:rFonts w:cs="Times New Roman"/>
          <w:sz w:val="26"/>
          <w:szCs w:val="26"/>
        </w:rPr>
        <w:t xml:space="preserve"> edukacyjnych ucznia, u którego stwierdzono trudności w uczeniu się.</w:t>
      </w:r>
    </w:p>
    <w:p w:rsidR="005E1A13" w:rsidRDefault="009D1783">
      <w:pPr>
        <w:pStyle w:val="Akapitzlist"/>
        <w:tabs>
          <w:tab w:val="left" w:pos="1663"/>
        </w:tabs>
        <w:snapToGrid w:val="0"/>
        <w:ind w:left="-27" w:right="5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12. Formy informowania rodziców/ opiekunów o osiągnięciach uczniów: rozmowa indywidualna, informacja w zeszycie przedmiotowym, indywidualne konsultacje nauczyciela, udostępnianie prac </w:t>
      </w:r>
      <w:r>
        <w:rPr>
          <w:rFonts w:cs="Times New Roman"/>
          <w:sz w:val="26"/>
          <w:szCs w:val="26"/>
        </w:rPr>
        <w:t>uczniowskich, spotkania z rodzicami.</w:t>
      </w:r>
    </w:p>
    <w:p w:rsidR="005E1A13" w:rsidRDefault="005E1A13">
      <w:pPr>
        <w:pStyle w:val="Akapitzlist"/>
        <w:tabs>
          <w:tab w:val="left" w:pos="1663"/>
        </w:tabs>
        <w:snapToGrid w:val="0"/>
        <w:ind w:left="-27" w:right="54"/>
        <w:rPr>
          <w:rFonts w:cs="Times New Roman"/>
          <w:sz w:val="26"/>
          <w:szCs w:val="26"/>
        </w:rPr>
      </w:pPr>
    </w:p>
    <w:p w:rsidR="005E1A13" w:rsidRDefault="009D1783">
      <w:pPr>
        <w:pStyle w:val="Akapitzlist"/>
        <w:tabs>
          <w:tab w:val="left" w:pos="1663"/>
        </w:tabs>
        <w:snapToGrid w:val="0"/>
        <w:ind w:left="-27" w:right="5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Opracowała</w:t>
      </w:r>
    </w:p>
    <w:p w:rsidR="005E1A13" w:rsidRDefault="009D1783">
      <w:pPr>
        <w:pStyle w:val="Akapitzlist"/>
        <w:tabs>
          <w:tab w:val="left" w:pos="1663"/>
        </w:tabs>
        <w:snapToGrid w:val="0"/>
        <w:ind w:left="-27" w:right="5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Joanna Bulak</w:t>
      </w:r>
    </w:p>
    <w:sectPr w:rsidR="005E1A13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83" w:rsidRDefault="009D1783">
      <w:r>
        <w:separator/>
      </w:r>
    </w:p>
  </w:endnote>
  <w:endnote w:type="continuationSeparator" w:id="0">
    <w:p w:rsidR="009D1783" w:rsidRDefault="009D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83" w:rsidRDefault="009D1783">
      <w:r>
        <w:rPr>
          <w:color w:val="000000"/>
        </w:rPr>
        <w:separator/>
      </w:r>
    </w:p>
  </w:footnote>
  <w:footnote w:type="continuationSeparator" w:id="0">
    <w:p w:rsidR="009D1783" w:rsidRDefault="009D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500"/>
    <w:multiLevelType w:val="multilevel"/>
    <w:tmpl w:val="0BCC11E2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FEF3B22"/>
    <w:multiLevelType w:val="multilevel"/>
    <w:tmpl w:val="A664C31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2EF6536"/>
    <w:multiLevelType w:val="multilevel"/>
    <w:tmpl w:val="323215B6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77568FD"/>
    <w:multiLevelType w:val="multilevel"/>
    <w:tmpl w:val="1EB0904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A7B7CE0"/>
    <w:multiLevelType w:val="multilevel"/>
    <w:tmpl w:val="EA5C8284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CED7F2D"/>
    <w:multiLevelType w:val="multilevel"/>
    <w:tmpl w:val="778EE182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1A13"/>
    <w:rsid w:val="005E1A13"/>
    <w:rsid w:val="008D1189"/>
    <w:rsid w:val="009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ind w:firstLine="284"/>
      <w:jc w:val="center"/>
    </w:pPr>
    <w:rPr>
      <w:b/>
      <w:caps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20">
    <w:name w:val="WW8Num20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ind w:firstLine="284"/>
      <w:jc w:val="center"/>
    </w:pPr>
    <w:rPr>
      <w:b/>
      <w:caps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20">
    <w:name w:val="WW8Num20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Januariusz Bulak</dc:creator>
  <cp:lastModifiedBy>KHT</cp:lastModifiedBy>
  <cp:revision>2</cp:revision>
  <dcterms:created xsi:type="dcterms:W3CDTF">2020-02-06T20:37:00Z</dcterms:created>
  <dcterms:modified xsi:type="dcterms:W3CDTF">2020-02-06T20:37:00Z</dcterms:modified>
</cp:coreProperties>
</file>