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6E" w:rsidRDefault="003D0F6E">
      <w:pPr>
        <w:jc w:val="both"/>
      </w:pPr>
      <w:bookmarkStart w:id="0" w:name="_GoBack"/>
      <w:bookmarkEnd w:id="0"/>
    </w:p>
    <w:p w:rsidR="003D0F6E" w:rsidRDefault="00AE7C32">
      <w:pPr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-86995</wp:posOffset>
            </wp:positionV>
            <wp:extent cx="1896110" cy="1348740"/>
            <wp:effectExtent l="0" t="0" r="0" b="0"/>
            <wp:wrapSquare wrapText="bothSides"/>
            <wp:docPr id="1" name="Obraz 6" descr="nowe_logo_fundacja o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nowe_logo_fundacja orl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l-PL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882015" cy="1259205"/>
            <wp:effectExtent l="0" t="0" r="0" b="0"/>
            <wp:docPr id="2" name="Obraz 4" descr="Znalezione obrazy dla zapytania logo pł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Znalezione obrazy dla zapytania logo pł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</w:t>
      </w:r>
    </w:p>
    <w:p w:rsidR="003D0F6E" w:rsidRDefault="00AE7C32">
      <w:pPr>
        <w:spacing w:line="360" w:lineRule="auto"/>
        <w:jc w:val="both"/>
      </w:pPr>
      <w:r>
        <w:rPr>
          <w:color w:val="000000"/>
          <w:lang/>
        </w:rPr>
        <w:tab/>
      </w:r>
      <w:r>
        <w:rPr>
          <w:rFonts w:eastAsia="Calibri"/>
          <w:color w:val="000000"/>
          <w:lang/>
        </w:rPr>
        <w:t xml:space="preserve">Program </w:t>
      </w:r>
      <w:r>
        <w:rPr>
          <w:color w:val="000000"/>
          <w:lang/>
        </w:rPr>
        <w:t xml:space="preserve"> "Pracownie językowe w płockich szkołach" to przedsięwzięcie współfinansowane przez miasto Płock i Fundację ORLEN. W ramach projektu 20 szkół podstawowych i ponadpodstawowych zostało doposażone nowoczesnym sprzętem, który znacząco ułatwia naukę języków obc</w:t>
      </w:r>
      <w:r>
        <w:rPr>
          <w:color w:val="000000"/>
          <w:lang/>
        </w:rPr>
        <w:t xml:space="preserve">ych. Koszt programu to 490 tysięcy złotych, z czego 400 tys. zostało </w:t>
      </w:r>
      <w:r>
        <w:rPr>
          <w:rFonts w:eastAsia="Calibri"/>
          <w:color w:val="000000"/>
          <w:lang/>
        </w:rPr>
        <w:t>dofinansowane</w:t>
      </w:r>
      <w:r>
        <w:rPr>
          <w:color w:val="000000"/>
          <w:lang/>
        </w:rPr>
        <w:t xml:space="preserve"> </w:t>
      </w:r>
      <w:r>
        <w:rPr>
          <w:rFonts w:eastAsia="Calibri"/>
          <w:color w:val="000000"/>
          <w:lang/>
        </w:rPr>
        <w:t>ze środków</w:t>
      </w:r>
      <w:r>
        <w:rPr>
          <w:color w:val="000000"/>
          <w:lang/>
        </w:rPr>
        <w:t xml:space="preserve"> Fundacji ORLEN, a 90 tys. pochodziło z budżetu miasta Płocka. </w:t>
      </w:r>
    </w:p>
    <w:p w:rsidR="003D0F6E" w:rsidRDefault="00AE7C32">
      <w:pPr>
        <w:spacing w:after="0" w:line="360" w:lineRule="auto"/>
        <w:ind w:firstLine="708"/>
        <w:jc w:val="both"/>
        <w:rPr>
          <w:color w:val="FF0000"/>
        </w:rPr>
      </w:pPr>
      <w:r>
        <w:t xml:space="preserve">Tym razem, po pracowniach fizycznych chemicznych, biologicznych oraz zawodowych, </w:t>
      </w:r>
      <w:r>
        <w:br/>
        <w:t>20 płockich szkół</w:t>
      </w:r>
      <w:r>
        <w:t xml:space="preserve"> wzbogaciło się o nowoczesne, multimedialne pracownie językowe. </w:t>
      </w:r>
    </w:p>
    <w:p w:rsidR="003D0F6E" w:rsidRDefault="00AE7C32">
      <w:pPr>
        <w:spacing w:after="0" w:line="360" w:lineRule="auto"/>
        <w:ind w:firstLine="708"/>
        <w:jc w:val="both"/>
        <w:rPr>
          <w:rStyle w:val="Pogrubienie"/>
          <w:rFonts w:cs="Calibri"/>
          <w:b w:val="0"/>
        </w:rPr>
      </w:pPr>
      <w:r>
        <w:t>Dotychczasowe pomoce dydaktyczne</w:t>
      </w:r>
      <w:r>
        <w:rPr>
          <w:rFonts w:cs="Calibri"/>
        </w:rPr>
        <w:t xml:space="preserve">  radiomagnetofony, komputery czy projektory zastąpiły nowoczesne </w:t>
      </w:r>
      <w:r>
        <w:rPr>
          <w:rFonts w:eastAsia="Times New Roman" w:cs="Calibri"/>
          <w:color w:val="000000"/>
          <w:lang w:eastAsia="pl-PL"/>
        </w:rPr>
        <w:t>monitory interaktywne LED 65", komputery PIA wyposażone w programy do zarządzania klasopracow</w:t>
      </w:r>
      <w:r>
        <w:rPr>
          <w:rFonts w:eastAsia="Times New Roman" w:cs="Calibri"/>
          <w:color w:val="000000"/>
          <w:lang w:eastAsia="pl-PL"/>
        </w:rPr>
        <w:t xml:space="preserve">nią, tablety, profesjonalne słuchawki, estetyczne stanowiska  pracy uczniowskiej spięte systemowo z klasopracownią. Realizacja projektu „Pracownie językowe w płockich szkołach” przyczyniła się do powstania </w:t>
      </w:r>
      <w:r>
        <w:rPr>
          <w:rStyle w:val="Pogrubienie"/>
          <w:rFonts w:cs="Calibri"/>
          <w:b w:val="0"/>
        </w:rPr>
        <w:t>profesjonalnych, nowoczesnej multimedialnych praco</w:t>
      </w:r>
      <w:r>
        <w:rPr>
          <w:rStyle w:val="Pogrubienie"/>
          <w:rFonts w:cs="Calibri"/>
          <w:b w:val="0"/>
        </w:rPr>
        <w:t>wni językowych spełniających najwyższe standardy. Ich funkcjonalność zapewni młodzieży wyższy standard słuchanego tekstu, stworzy lepsze warunki do indywidualnego, niczym nie skrępowanego rozwoju każdego ucznia w obszarze  konstruowania wypowiedzi oraz kom</w:t>
      </w:r>
      <w:r>
        <w:rPr>
          <w:rStyle w:val="Pogrubienie"/>
          <w:rFonts w:cs="Calibri"/>
          <w:b w:val="0"/>
        </w:rPr>
        <w:t xml:space="preserve">unikowania z innymi uczniami w grupie. </w:t>
      </w:r>
    </w:p>
    <w:p w:rsidR="003D0F6E" w:rsidRDefault="00AE7C32">
      <w:pPr>
        <w:spacing w:after="0" w:line="360" w:lineRule="auto"/>
        <w:ind w:firstLine="708"/>
        <w:jc w:val="both"/>
        <w:rPr>
          <w:rStyle w:val="Pogrubienie"/>
          <w:rFonts w:cs="Calibri"/>
          <w:b w:val="0"/>
        </w:rPr>
      </w:pPr>
      <w:r>
        <w:rPr>
          <w:rStyle w:val="Pogrubienie"/>
          <w:rFonts w:cs="Calibri"/>
          <w:b w:val="0"/>
        </w:rPr>
        <w:t xml:space="preserve">Wykorzystanie multimedialnej pracowni językowej nie ograniczy się li tylko do prowadzenia zajęć dydaktycznych. Będzie ona swoistym „oknem na świat” dla młodzieży, dzięki możliwości korzystania z edukacyjnych zasobów </w:t>
      </w:r>
      <w:r>
        <w:rPr>
          <w:rStyle w:val="Pogrubienie"/>
          <w:rFonts w:cs="Calibri"/>
          <w:b w:val="0"/>
        </w:rPr>
        <w:t>internetowych, chociażby wirtualnych spacerów po muzeach, galeriach i miejscach związanych z  historią oraz popkulturą  innych krajów.</w:t>
      </w:r>
      <w:r>
        <w:rPr>
          <w:rStyle w:val="Pogrubienie"/>
          <w:rFonts w:cs="Calibri"/>
          <w:b w:val="0"/>
          <w:color w:val="FF0000"/>
        </w:rPr>
        <w:t xml:space="preserve"> </w:t>
      </w:r>
    </w:p>
    <w:p w:rsidR="003D0F6E" w:rsidRDefault="00AE7C32">
      <w:pPr>
        <w:spacing w:after="0" w:line="360" w:lineRule="auto"/>
        <w:ind w:firstLine="708"/>
        <w:jc w:val="both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Wykorzystanie zasobów multimedialnych i narzędzi informatycznych w nauce języka obcego, nie tylko uatrakcyjni proces edu</w:t>
      </w:r>
      <w:r>
        <w:rPr>
          <w:rFonts w:eastAsia="Times New Roman" w:cs="Calibri"/>
          <w:lang w:eastAsia="en-GB"/>
        </w:rPr>
        <w:t xml:space="preserve">kacyjny, ale  również wpłynie na większe zaangażowanie ze strony uczniów w proces dydaktyczny oraz pozwoli na koncentrację młodzieży ukierunkowaną </w:t>
      </w:r>
      <w:r>
        <w:rPr>
          <w:rFonts w:eastAsia="Times New Roman" w:cs="Calibri"/>
          <w:lang w:eastAsia="en-GB"/>
        </w:rPr>
        <w:br/>
        <w:t>na  wykonywane ćwiczenia. Możliwy będzie</w:t>
      </w:r>
      <w:r>
        <w:rPr>
          <w:rFonts w:eastAsia="Times New Roman" w:cs="Calibri"/>
          <w:color w:val="FF0000"/>
          <w:lang w:eastAsia="en-GB"/>
        </w:rPr>
        <w:t xml:space="preserve"> </w:t>
      </w:r>
      <w:r>
        <w:rPr>
          <w:rFonts w:eastAsia="Times New Roman" w:cs="Calibri"/>
          <w:lang w:eastAsia="en-GB"/>
        </w:rPr>
        <w:t xml:space="preserve">swobodny, głośny trening wymowy przez dialogi, udoskonalające mowę </w:t>
      </w:r>
      <w:r>
        <w:rPr>
          <w:rFonts w:eastAsia="Times New Roman" w:cs="Calibri"/>
          <w:lang w:eastAsia="en-GB"/>
        </w:rPr>
        <w:t xml:space="preserve">i przełamujące naturalny opór do rozmów w obcym języku. W naturalny sposób wpłynie to na tempo oraz, co najważniejsze, efekty pracy. Z wielu dostępnych badań wynika, </w:t>
      </w:r>
      <w:r>
        <w:rPr>
          <w:rFonts w:eastAsia="Times New Roman" w:cs="Calibri"/>
          <w:lang w:eastAsia="en-GB"/>
        </w:rPr>
        <w:br/>
        <w:t>że korzystanie z multimedialnych narzędzi do nauki języka zwiększa  skuteczność przyswaja</w:t>
      </w:r>
      <w:r>
        <w:rPr>
          <w:rFonts w:eastAsia="Times New Roman" w:cs="Calibri"/>
          <w:lang w:eastAsia="en-GB"/>
        </w:rPr>
        <w:t>nia nowej wiedzy nawet o kilkadziesiąt procent w stosunku do tradycyjnego nauczania. Jest to kluczowe, szczególnie w nauczaniu i uczeniu się języków obcych.</w:t>
      </w:r>
    </w:p>
    <w:p w:rsidR="003D0F6E" w:rsidRDefault="00AE7C32">
      <w:pPr>
        <w:spacing w:after="0" w:line="360" w:lineRule="auto"/>
        <w:ind w:firstLine="708"/>
        <w:jc w:val="both"/>
        <w:rPr>
          <w:rFonts w:cs="Calibri"/>
          <w:b/>
          <w:bCs/>
        </w:rPr>
      </w:pPr>
      <w:r>
        <w:rPr>
          <w:rFonts w:eastAsia="Times New Roman" w:cs="Calibri"/>
          <w:lang w:eastAsia="en-GB"/>
        </w:rPr>
        <w:t xml:space="preserve">Dzięki realizacji programu </w:t>
      </w:r>
      <w:r>
        <w:t xml:space="preserve">płockie szkoły mogą zapewnić uczniom naukę języków obcych </w:t>
      </w:r>
      <w:r>
        <w:br/>
        <w:t xml:space="preserve">na miarę XXI </w:t>
      </w:r>
      <w:r>
        <w:t>wieku.</w:t>
      </w:r>
    </w:p>
    <w:sectPr w:rsidR="003D0F6E">
      <w:pgSz w:w="11906" w:h="16838"/>
      <w:pgMar w:top="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6E"/>
    <w:rsid w:val="003D0F6E"/>
    <w:rsid w:val="00A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9243-4B8B-4F51-94CE-B6EA455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EA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D0EA2"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Sławomira</cp:lastModifiedBy>
  <cp:revision>2</cp:revision>
  <cp:lastPrinted>2022-06-27T10:31:00Z</cp:lastPrinted>
  <dcterms:created xsi:type="dcterms:W3CDTF">2022-06-28T09:17:00Z</dcterms:created>
  <dcterms:modified xsi:type="dcterms:W3CDTF">2022-06-28T09:17:00Z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